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1" w:rsidRPr="00B94BE1" w:rsidRDefault="00B94BE1" w:rsidP="00B94BE1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B94BE1">
        <w:rPr>
          <w:rFonts w:ascii="Cambria" w:hAnsi="Cambria"/>
          <w:b/>
          <w:sz w:val="28"/>
          <w:szCs w:val="28"/>
          <w:lang w:val="uk-UA"/>
        </w:rPr>
        <w:t xml:space="preserve">Методичні рекомендації </w:t>
      </w:r>
    </w:p>
    <w:p w:rsidR="00B94BE1" w:rsidRPr="00701480" w:rsidRDefault="00B94BE1" w:rsidP="00B94BE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94BE1">
        <w:rPr>
          <w:rFonts w:ascii="Cambria" w:hAnsi="Cambria"/>
          <w:b/>
          <w:sz w:val="28"/>
          <w:szCs w:val="28"/>
          <w:lang w:val="uk-UA"/>
        </w:rPr>
        <w:t>за напрямом роботи з обдарованою учнівською молоддю</w:t>
      </w:r>
    </w:p>
    <w:p w:rsidR="00701480" w:rsidRPr="00701480" w:rsidRDefault="00701480" w:rsidP="00B94BE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B6D64" w:rsidRPr="006B6D64" w:rsidRDefault="006B6D64" w:rsidP="006B6D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ambria" w:eastAsia="Times New Roman" w:hAnsi="Cambria" w:cs="Arial"/>
          <w:b/>
          <w:bCs/>
          <w:color w:val="122C3E"/>
          <w:sz w:val="28"/>
          <w:szCs w:val="38"/>
          <w:lang w:val="uk-UA" w:eastAsia="ru-RU"/>
        </w:rPr>
      </w:pPr>
      <w:r w:rsidRPr="006B6D64">
        <w:rPr>
          <w:rFonts w:ascii="Cambria" w:eastAsia="Times New Roman" w:hAnsi="Cambria" w:cs="Arial"/>
          <w:b/>
          <w:bCs/>
          <w:color w:val="122C3E"/>
          <w:sz w:val="28"/>
          <w:szCs w:val="38"/>
          <w:lang w:val="uk-UA" w:eastAsia="ru-RU"/>
        </w:rPr>
        <w:t>Форми і методи роботи з обдарованими дітьми</w:t>
      </w:r>
    </w:p>
    <w:p w:rsidR="007C1B25" w:rsidRDefault="007C1B25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Найважливішою проблемою нашого суспільства є збереження і розвиток обдарованості. Перед учителями постає основне завдання: сприяти розвитку кожного учня. Тому важливо встановити рівень здібностей та їх різноманітність але не менш важливо вміти правильно здійснювати їхній розвиток.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 xml:space="preserve">В обдарованих дітей чітко виявляється потреба в дослідницькій і пошуковій активності – це одна з умов, що дозволяє учневі зануритися в творчий процес навчання і виховує в нього жагу до знань, прагнення до відкриттів, активної розумової праці та самопізнання. В освітньому процесі розвиток обдарованої дитини слід розглядати як розвиток її внутрішнього </w:t>
      </w:r>
      <w:proofErr w:type="spellStart"/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діяльнісного</w:t>
      </w:r>
      <w:proofErr w:type="spellEnd"/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 xml:space="preserve"> потенціалу, здатності бути автором, активним творцем свого життя, уміти ставити мету, шукати способи її досягнення, бути здатним вільно обирати і відповідати за нього, максимально використовувати свої здібності.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bCs/>
          <w:color w:val="122C3E"/>
          <w:sz w:val="28"/>
          <w:szCs w:val="24"/>
          <w:lang w:val="uk-UA" w:eastAsia="ru-RU"/>
        </w:rPr>
        <w:t>Саме тому методи і форми роботи вчителя повинні сприяти розв'язанню поставлених завдань. Для цієї категорії учнів застосовуються такі методи роботи: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дослідницький;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частково-пошуковий;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проблемний;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проектний.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bCs/>
          <w:color w:val="122C3E"/>
          <w:sz w:val="28"/>
          <w:szCs w:val="24"/>
          <w:lang w:val="uk-UA" w:eastAsia="ru-RU"/>
        </w:rPr>
        <w:t>Ефективними є такі форми роботи з учнями, як: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предметні олімпіади;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інтелектуальні марафони;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творчі конкурси і вікторини;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словесні ігри, дебати;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проекти з різної тематики;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рольові ігри;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індивідуальні творчі завдання;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інтелектуальні ігри: «КВК» «Ерудит» «Найрозумніший» «Колесо фортуни»;</w:t>
      </w:r>
    </w:p>
    <w:p w:rsidR="006B6D64" w:rsidRPr="006B6D64" w:rsidRDefault="006B6D64" w:rsidP="006B6D64">
      <w:pPr>
        <w:shd w:val="clear" w:color="auto" w:fill="FFFFFF"/>
        <w:spacing w:after="0" w:line="360" w:lineRule="atLeast"/>
        <w:ind w:firstLine="709"/>
        <w:jc w:val="both"/>
        <w:rPr>
          <w:rFonts w:asciiTheme="majorHAnsi" w:eastAsia="Times New Roman" w:hAnsiTheme="majorHAnsi" w:cs="Arial"/>
          <w:color w:val="122C3E"/>
          <w:sz w:val="28"/>
          <w:szCs w:val="24"/>
          <w:lang w:val="uk-UA" w:eastAsia="ru-RU"/>
        </w:rPr>
      </w:pPr>
      <w:r w:rsidRPr="006B6D64">
        <w:rPr>
          <w:rFonts w:ascii="Cambria" w:eastAsia="Times New Roman" w:hAnsi="Cambria" w:cs="Arial"/>
          <w:color w:val="122C3E"/>
          <w:sz w:val="28"/>
          <w:szCs w:val="24"/>
          <w:lang w:val="uk-UA" w:eastAsia="ru-RU"/>
        </w:rPr>
        <w:t>– конкурси знавців математики та логічного</w:t>
      </w:r>
      <w:r w:rsidRPr="006B6D64">
        <w:rPr>
          <w:rFonts w:ascii="Arial" w:eastAsia="Times New Roman" w:hAnsi="Arial" w:cs="Arial"/>
          <w:color w:val="122C3E"/>
          <w:sz w:val="28"/>
          <w:szCs w:val="24"/>
          <w:lang w:eastAsia="ru-RU"/>
        </w:rPr>
        <w:t xml:space="preserve"> </w:t>
      </w:r>
      <w:r w:rsidRPr="006B6D64">
        <w:rPr>
          <w:rFonts w:asciiTheme="majorHAnsi" w:eastAsia="Times New Roman" w:hAnsiTheme="majorHAnsi" w:cs="Arial"/>
          <w:color w:val="122C3E"/>
          <w:sz w:val="28"/>
          <w:szCs w:val="24"/>
          <w:lang w:val="uk-UA" w:eastAsia="ru-RU"/>
        </w:rPr>
        <w:t xml:space="preserve">мислення; </w:t>
      </w:r>
    </w:p>
    <w:p w:rsidR="006B6D64" w:rsidRPr="006B6D64" w:rsidRDefault="006B6D64" w:rsidP="006B6D64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tLeast"/>
        <w:ind w:left="0" w:firstLine="709"/>
        <w:jc w:val="both"/>
        <w:rPr>
          <w:rFonts w:asciiTheme="majorHAnsi" w:eastAsia="Times New Roman" w:hAnsiTheme="majorHAnsi" w:cs="Arial"/>
          <w:color w:val="122C3E"/>
          <w:sz w:val="28"/>
          <w:szCs w:val="24"/>
          <w:lang w:val="uk-UA" w:eastAsia="ru-RU"/>
        </w:rPr>
      </w:pPr>
      <w:r w:rsidRPr="006B6D64">
        <w:rPr>
          <w:rFonts w:asciiTheme="majorHAnsi" w:eastAsia="Times New Roman" w:hAnsiTheme="majorHAnsi" w:cs="Arial"/>
          <w:color w:val="122C3E"/>
          <w:sz w:val="28"/>
          <w:szCs w:val="24"/>
          <w:lang w:val="uk-UA" w:eastAsia="ru-RU"/>
        </w:rPr>
        <w:t>ребуси, кросворди, головоломки.</w:t>
      </w:r>
    </w:p>
    <w:p w:rsidR="006B6D64" w:rsidRDefault="006B6D64" w:rsidP="006B6D64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7C1B25" w:rsidRDefault="007C1B25" w:rsidP="006B6D64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701480" w:rsidRDefault="006B6D64" w:rsidP="006B6D64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  <w:lang w:val="uk-UA"/>
        </w:rPr>
      </w:pPr>
      <w:r w:rsidRPr="006B6D64">
        <w:rPr>
          <w:rFonts w:ascii="Cambria" w:hAnsi="Cambria"/>
          <w:b/>
          <w:sz w:val="28"/>
          <w:szCs w:val="28"/>
          <w:lang w:val="uk-UA"/>
        </w:rPr>
        <w:lastRenderedPageBreak/>
        <w:t>Рекомендації для методистів відділів освіти, заступник</w:t>
      </w:r>
      <w:r w:rsidR="008E60DC">
        <w:rPr>
          <w:rFonts w:ascii="Cambria" w:hAnsi="Cambria"/>
          <w:b/>
          <w:sz w:val="28"/>
          <w:szCs w:val="28"/>
          <w:lang w:val="uk-UA"/>
        </w:rPr>
        <w:t>ів</w:t>
      </w:r>
      <w:bookmarkStart w:id="0" w:name="_GoBack"/>
      <w:bookmarkEnd w:id="0"/>
      <w:r w:rsidRPr="006B6D64">
        <w:rPr>
          <w:rFonts w:ascii="Cambria" w:hAnsi="Cambria"/>
          <w:b/>
          <w:sz w:val="28"/>
          <w:szCs w:val="28"/>
          <w:lang w:val="uk-UA"/>
        </w:rPr>
        <w:t xml:space="preserve"> директорів ЗЗСО з навчально-виховної роботи </w:t>
      </w:r>
      <w:r w:rsidR="007C1B25">
        <w:rPr>
          <w:rFonts w:ascii="Cambria" w:hAnsi="Cambria"/>
          <w:b/>
          <w:sz w:val="28"/>
          <w:szCs w:val="28"/>
          <w:lang w:val="uk-UA"/>
        </w:rPr>
        <w:t>за напрямом роботи з обдарованою учнівською молоддю</w:t>
      </w:r>
    </w:p>
    <w:p w:rsidR="007C1B25" w:rsidRPr="006B6D64" w:rsidRDefault="007C1B25" w:rsidP="006B6D64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B94BE1" w:rsidRPr="00B94BE1" w:rsidRDefault="00B94BE1" w:rsidP="00B94B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Упроваджувати систему ранньої, поетапної діагностики та своєчасного виявлення обдарованих дітей і молоді різних вікових категорій у всіх закладах освіти. Використовувати в роботі з обдарованими дітьми новітні інформаційні технології та форми роботи, що максимально розкриватимуть їх творчий потенціал. </w:t>
      </w:r>
    </w:p>
    <w:p w:rsidR="00B94BE1" w:rsidRPr="00B94BE1" w:rsidRDefault="00860203" w:rsidP="00B94B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Створити</w:t>
      </w:r>
      <w:r w:rsidR="00B94BE1" w:rsidRPr="00B94BE1">
        <w:rPr>
          <w:rFonts w:ascii="Cambria" w:hAnsi="Cambria"/>
          <w:sz w:val="28"/>
          <w:szCs w:val="28"/>
          <w:lang w:val="uk-UA"/>
        </w:rPr>
        <w:t xml:space="preserve"> мережу експериментальних майданчиків, класів з поглибленим вивченням окремих предметів. Відслідковувати та оновлювати інформацію щодо впровадження нових освітніх проектів в практику міста</w:t>
      </w:r>
      <w:r>
        <w:rPr>
          <w:rFonts w:ascii="Cambria" w:hAnsi="Cambria"/>
          <w:sz w:val="28"/>
          <w:szCs w:val="28"/>
          <w:lang w:val="uk-UA"/>
        </w:rPr>
        <w:t xml:space="preserve"> (район</w:t>
      </w:r>
      <w:r w:rsidR="00153A79">
        <w:rPr>
          <w:rFonts w:ascii="Cambria" w:hAnsi="Cambria"/>
          <w:sz w:val="28"/>
          <w:szCs w:val="28"/>
          <w:lang w:val="uk-UA"/>
        </w:rPr>
        <w:t>у</w:t>
      </w:r>
      <w:r>
        <w:rPr>
          <w:rFonts w:ascii="Cambria" w:hAnsi="Cambria"/>
          <w:sz w:val="28"/>
          <w:szCs w:val="28"/>
          <w:lang w:val="uk-UA"/>
        </w:rPr>
        <w:t>, ОТГ)</w:t>
      </w:r>
      <w:r w:rsidR="00B94BE1" w:rsidRPr="00B94BE1">
        <w:rPr>
          <w:rFonts w:ascii="Cambria" w:hAnsi="Cambria"/>
          <w:sz w:val="28"/>
          <w:szCs w:val="28"/>
          <w:lang w:val="uk-UA"/>
        </w:rPr>
        <w:t xml:space="preserve">. </w:t>
      </w:r>
    </w:p>
    <w:p w:rsidR="00B94BE1" w:rsidRPr="00B94BE1" w:rsidRDefault="00B94BE1" w:rsidP="00B94B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Організувати на базі позашкільних закладів міста</w:t>
      </w:r>
      <w:r w:rsidR="00860203">
        <w:rPr>
          <w:rFonts w:ascii="Cambria" w:hAnsi="Cambria"/>
          <w:sz w:val="28"/>
          <w:szCs w:val="28"/>
          <w:lang w:val="uk-UA"/>
        </w:rPr>
        <w:t xml:space="preserve"> (район</w:t>
      </w:r>
      <w:r w:rsidR="00153A79">
        <w:rPr>
          <w:rFonts w:ascii="Cambria" w:hAnsi="Cambria"/>
          <w:sz w:val="28"/>
          <w:szCs w:val="28"/>
          <w:lang w:val="uk-UA"/>
        </w:rPr>
        <w:t>у</w:t>
      </w:r>
      <w:r w:rsidR="00860203">
        <w:rPr>
          <w:rFonts w:ascii="Cambria" w:hAnsi="Cambria"/>
          <w:sz w:val="28"/>
          <w:szCs w:val="28"/>
          <w:lang w:val="uk-UA"/>
        </w:rPr>
        <w:t>, ОТГ)</w:t>
      </w:r>
      <w:r w:rsidRPr="00B94BE1">
        <w:rPr>
          <w:rFonts w:ascii="Cambria" w:hAnsi="Cambria"/>
          <w:sz w:val="28"/>
          <w:szCs w:val="28"/>
          <w:lang w:val="uk-UA"/>
        </w:rPr>
        <w:t xml:space="preserve"> творчі клуби, студії, майстерні та інші об’єднання різної тематичної спрямованості.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4. Розробити методичні рекомендації учителям, що працюють зі здібними та обдарованими учнями щодо: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– використання тестових технологій для визначення рівня обдарованості дитини;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– форм навчальної та позаурочної роботи з обдарованими дітьми, методів, прийомів евристичної діяльності для розвитку творчих здібностей. </w:t>
      </w:r>
    </w:p>
    <w:p w:rsidR="00B94BE1" w:rsidRPr="00B94BE1" w:rsidRDefault="00B94BE1" w:rsidP="00B94B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Висвітлювати проблеми роботи з обдарованими дітьми на сторінках газет та по місцевому радіомовленню, на Інтернет ресурсах. </w:t>
      </w:r>
    </w:p>
    <w:p w:rsidR="00B94BE1" w:rsidRPr="00B94BE1" w:rsidRDefault="00B94BE1" w:rsidP="00B94BE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Використовувати дистанційні форми навчання та потенціал </w:t>
      </w:r>
      <w:r w:rsidRPr="00B94BE1">
        <w:rPr>
          <w:rFonts w:ascii="Cambria" w:hAnsi="Cambria"/>
          <w:sz w:val="28"/>
          <w:szCs w:val="28"/>
          <w:lang w:val="uk-UA"/>
        </w:rPr>
        <w:br/>
      </w:r>
      <w:proofErr w:type="spellStart"/>
      <w:r w:rsidRPr="00B94BE1">
        <w:rPr>
          <w:rFonts w:ascii="Cambria" w:hAnsi="Cambria"/>
          <w:sz w:val="28"/>
          <w:szCs w:val="28"/>
          <w:lang w:val="uk-UA"/>
        </w:rPr>
        <w:t>веб-ресурсів</w:t>
      </w:r>
      <w:proofErr w:type="spellEnd"/>
      <w:r w:rsidRPr="00B94BE1">
        <w:rPr>
          <w:rFonts w:ascii="Cambria" w:hAnsi="Cambria"/>
          <w:sz w:val="28"/>
          <w:szCs w:val="28"/>
          <w:lang w:val="uk-UA"/>
        </w:rPr>
        <w:t xml:space="preserve"> для роботи з обдарованими учнями (он-лайн-олімпіади, </w:t>
      </w:r>
      <w:r w:rsidRPr="00B94BE1">
        <w:rPr>
          <w:rFonts w:ascii="Cambria" w:hAnsi="Cambria"/>
          <w:sz w:val="28"/>
          <w:szCs w:val="28"/>
          <w:lang w:val="uk-UA"/>
        </w:rPr>
        <w:br/>
        <w:t xml:space="preserve">он-лайн-конкурси та робота в канікулярний період). </w:t>
      </w:r>
    </w:p>
    <w:p w:rsidR="00B94BE1" w:rsidRPr="00B94BE1" w:rsidRDefault="00B94BE1" w:rsidP="00B94B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Організ</w:t>
      </w:r>
      <w:r w:rsidR="00153A79">
        <w:rPr>
          <w:rFonts w:ascii="Cambria" w:hAnsi="Cambria"/>
          <w:sz w:val="28"/>
          <w:szCs w:val="28"/>
          <w:lang w:val="uk-UA"/>
        </w:rPr>
        <w:t>ову</w:t>
      </w:r>
      <w:r w:rsidRPr="00B94BE1">
        <w:rPr>
          <w:rFonts w:ascii="Cambria" w:hAnsi="Cambria"/>
          <w:sz w:val="28"/>
          <w:szCs w:val="28"/>
          <w:lang w:val="uk-UA"/>
        </w:rPr>
        <w:t xml:space="preserve">вати проведення наукових конференцій, семінарів, турнірів, тижнів, олімпіад. </w:t>
      </w:r>
    </w:p>
    <w:p w:rsidR="007157A6" w:rsidRDefault="007157A6" w:rsidP="007157A6">
      <w:pPr>
        <w:spacing w:after="0" w:line="240" w:lineRule="auto"/>
        <w:jc w:val="both"/>
        <w:rPr>
          <w:rFonts w:ascii="Cambria" w:eastAsia="Times New Roman" w:hAnsi="Cambria"/>
          <w:sz w:val="28"/>
          <w:szCs w:val="24"/>
          <w:lang w:val="uk-UA" w:eastAsia="ru-RU"/>
        </w:rPr>
      </w:pPr>
    </w:p>
    <w:p w:rsidR="00B94BE1" w:rsidRPr="007157A6" w:rsidRDefault="00B94BE1" w:rsidP="00B94BE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Cambria" w:hAnsi="Cambria"/>
          <w:b/>
          <w:sz w:val="28"/>
          <w:szCs w:val="28"/>
        </w:rPr>
      </w:pP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  <w:lang w:val="uk-UA"/>
        </w:rPr>
      </w:pPr>
      <w:r w:rsidRPr="00B94BE1">
        <w:rPr>
          <w:rFonts w:ascii="Cambria" w:hAnsi="Cambria"/>
          <w:b/>
          <w:sz w:val="28"/>
          <w:szCs w:val="28"/>
          <w:lang w:val="uk-UA"/>
        </w:rPr>
        <w:t>Районним (міським) та шкільним координаторам конкурсів рекомендуємо:</w:t>
      </w:r>
    </w:p>
    <w:p w:rsid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аналізувати результати участі учнів закладів освіти у районі (місті, ОТГ) у проектах, конкурсах, олімпіадах, турнірах;</w:t>
      </w:r>
    </w:p>
    <w:p w:rsidR="00B94BE1" w:rsidRP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довести інформацію про умови та строки проведення проектів, конкурсів, турнірів, олімпіад до відома шкільних координаторів;</w:t>
      </w:r>
    </w:p>
    <w:p w:rsidR="00B94BE1" w:rsidRP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 w:eastAsia="uk-UA"/>
        </w:rPr>
        <w:t>опрацювати інструкції координатора та адміністратора щодо проведення конкурсів;</w:t>
      </w:r>
    </w:p>
    <w:p w:rsidR="00B94BE1" w:rsidRP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 w:eastAsia="uk-UA"/>
        </w:rPr>
        <w:t>завершити реєстрацію у конкурсах не пізніше визначеного оргкомітетом терміном;</w:t>
      </w:r>
    </w:p>
    <w:p w:rsidR="00B94BE1" w:rsidRP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color w:val="000000"/>
          <w:sz w:val="28"/>
          <w:szCs w:val="28"/>
          <w:lang w:val="uk-UA"/>
        </w:rPr>
        <w:t xml:space="preserve">для формування персональної сторінки </w:t>
      </w:r>
      <w:r w:rsidR="00153A79">
        <w:rPr>
          <w:rFonts w:ascii="Cambria" w:hAnsi="Cambria"/>
          <w:color w:val="000000"/>
          <w:sz w:val="28"/>
          <w:szCs w:val="28"/>
          <w:lang w:val="uk-UA"/>
        </w:rPr>
        <w:t>закладів освіти</w:t>
      </w:r>
      <w:r w:rsidRPr="00B94BE1">
        <w:rPr>
          <w:rFonts w:ascii="Cambria" w:hAnsi="Cambria"/>
          <w:color w:val="000000"/>
          <w:sz w:val="28"/>
          <w:szCs w:val="28"/>
          <w:lang w:val="uk-UA"/>
        </w:rPr>
        <w:t>, які ще не брали участі у конкурсах, необхідно надіслати листа</w:t>
      </w:r>
      <w:r w:rsidR="00153A79">
        <w:rPr>
          <w:rFonts w:ascii="Cambria" w:hAnsi="Cambria"/>
          <w:color w:val="000000"/>
          <w:sz w:val="28"/>
          <w:szCs w:val="28"/>
          <w:lang w:val="uk-UA"/>
        </w:rPr>
        <w:t>, де вказати</w:t>
      </w:r>
      <w:r w:rsidRPr="00B94BE1">
        <w:rPr>
          <w:rFonts w:ascii="Cambria" w:hAnsi="Cambria"/>
          <w:color w:val="000000"/>
          <w:sz w:val="28"/>
          <w:szCs w:val="28"/>
          <w:lang w:val="uk-UA"/>
        </w:rPr>
        <w:t xml:space="preserve"> назв</w:t>
      </w:r>
      <w:r w:rsidR="00153A79">
        <w:rPr>
          <w:rFonts w:ascii="Cambria" w:hAnsi="Cambria"/>
          <w:color w:val="000000"/>
          <w:sz w:val="28"/>
          <w:szCs w:val="28"/>
          <w:lang w:val="uk-UA"/>
        </w:rPr>
        <w:t>у</w:t>
      </w:r>
      <w:r w:rsidRPr="00B94BE1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153A79">
        <w:rPr>
          <w:rFonts w:ascii="Cambria" w:hAnsi="Cambria"/>
          <w:color w:val="000000"/>
          <w:sz w:val="28"/>
          <w:szCs w:val="28"/>
          <w:lang w:val="uk-UA"/>
        </w:rPr>
        <w:lastRenderedPageBreak/>
        <w:t>закладу освіти</w:t>
      </w:r>
      <w:r w:rsidRPr="00B94BE1">
        <w:rPr>
          <w:rFonts w:ascii="Cambria" w:hAnsi="Cambria"/>
          <w:color w:val="000000"/>
          <w:sz w:val="28"/>
          <w:szCs w:val="28"/>
          <w:lang w:val="uk-UA"/>
        </w:rPr>
        <w:t>, області, району та населеного пункту на електронну пошту оргкомітету конкурсів</w:t>
      </w:r>
      <w:r>
        <w:rPr>
          <w:rFonts w:ascii="Cambria" w:hAnsi="Cambria"/>
          <w:color w:val="000000"/>
          <w:sz w:val="28"/>
          <w:szCs w:val="28"/>
          <w:lang w:val="uk-UA"/>
        </w:rPr>
        <w:t>;</w:t>
      </w:r>
    </w:p>
    <w:p w:rsidR="00B94BE1" w:rsidRPr="00B94BE1" w:rsidRDefault="00B94BE1" w:rsidP="00B94BE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>використовувати у підготовці учнів до олімпіад інформаційно-аналітичні бюлетені всеукраїнських учнівських олімпіад з навчальних предметів минулих років.</w:t>
      </w:r>
    </w:p>
    <w:p w:rsidR="00B94BE1" w:rsidRPr="00B94BE1" w:rsidRDefault="00B94BE1" w:rsidP="00B94BE1">
      <w:pPr>
        <w:spacing w:after="0" w:line="240" w:lineRule="auto"/>
        <w:ind w:left="720"/>
        <w:jc w:val="both"/>
        <w:rPr>
          <w:rFonts w:ascii="Cambria" w:hAnsi="Cambria"/>
          <w:sz w:val="28"/>
          <w:szCs w:val="28"/>
          <w:lang w:val="uk-UA"/>
        </w:rPr>
      </w:pPr>
    </w:p>
    <w:p w:rsidR="00B94BE1" w:rsidRPr="00B94BE1" w:rsidRDefault="00B94BE1" w:rsidP="00B94BE1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B94BE1" w:rsidRPr="00B94BE1" w:rsidRDefault="00B94BE1" w:rsidP="00B94BE1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  <w:lang w:val="uk-UA"/>
        </w:rPr>
      </w:pPr>
      <w:r w:rsidRPr="00B94BE1">
        <w:rPr>
          <w:rFonts w:ascii="Cambria" w:hAnsi="Cambria"/>
          <w:b/>
          <w:sz w:val="28"/>
          <w:szCs w:val="28"/>
          <w:lang w:val="uk-UA"/>
        </w:rPr>
        <w:t>Офіційні сайти Міжнародних та Всеукраїнських конкурсів.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Державна наукова установа «Інститут модернізації змісту освіти» </w:t>
      </w:r>
      <w:hyperlink r:id="rId6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http://imzo.gov.ua/dokumenti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Сайт Сумського </w:t>
      </w:r>
      <w:r w:rsidR="00153A79">
        <w:rPr>
          <w:rFonts w:ascii="Cambria" w:hAnsi="Cambria"/>
          <w:sz w:val="28"/>
          <w:szCs w:val="28"/>
          <w:lang w:val="uk-UA"/>
        </w:rPr>
        <w:t>обласного інституту післядипломної педагогічної освіти</w:t>
      </w:r>
      <w:r w:rsidRPr="00B94BE1">
        <w:rPr>
          <w:rFonts w:ascii="Cambria" w:hAnsi="Cambria"/>
          <w:sz w:val="28"/>
          <w:szCs w:val="28"/>
          <w:lang w:val="uk-UA"/>
        </w:rPr>
        <w:t xml:space="preserve"> (розділ учнівські олімпіади) </w:t>
      </w:r>
      <w:hyperlink r:id="rId7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http://www.soippo.edu.ua/index.php/46-uncategorised/668-konkursi-olimpiadi</w:t>
        </w:r>
      </w:hyperlink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Міжнародний українсько-естонський проект «</w:t>
      </w:r>
      <w:proofErr w:type="spellStart"/>
      <w:r w:rsidRPr="00B94BE1">
        <w:rPr>
          <w:rFonts w:ascii="Cambria" w:hAnsi="Cambria"/>
          <w:sz w:val="28"/>
          <w:szCs w:val="28"/>
          <w:lang w:val="uk-UA"/>
        </w:rPr>
        <w:t>Міксіке</w:t>
      </w:r>
      <w:proofErr w:type="spellEnd"/>
      <w:r w:rsidRPr="00B94BE1">
        <w:rPr>
          <w:rFonts w:ascii="Cambria" w:hAnsi="Cambria"/>
          <w:sz w:val="28"/>
          <w:szCs w:val="28"/>
          <w:lang w:val="uk-UA"/>
        </w:rPr>
        <w:t xml:space="preserve">»  </w:t>
      </w:r>
      <w:hyperlink r:id="rId8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http://miksike.net.ua/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Міжнародний математичний конкурс «Кенгуру» </w:t>
      </w:r>
      <w:hyperlink r:id="rId9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http://www.kangaroo.com.ua/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Міжнародна природознавча гра «</w:t>
      </w:r>
      <w:proofErr w:type="spellStart"/>
      <w:r w:rsidRPr="00B94BE1">
        <w:rPr>
          <w:rFonts w:ascii="Cambria" w:hAnsi="Cambria"/>
          <w:sz w:val="28"/>
          <w:szCs w:val="28"/>
          <w:lang w:val="uk-UA"/>
        </w:rPr>
        <w:t>Геліантус</w:t>
      </w:r>
      <w:proofErr w:type="spellEnd"/>
      <w:r w:rsidRPr="00B94BE1">
        <w:rPr>
          <w:rFonts w:ascii="Cambria" w:hAnsi="Cambria"/>
          <w:sz w:val="28"/>
          <w:szCs w:val="28"/>
          <w:lang w:val="uk-UA"/>
        </w:rPr>
        <w:t xml:space="preserve">» </w:t>
      </w:r>
      <w:hyperlink r:id="rId10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http://helianthus.com.ua/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>Міжнародна гра зі світової (української та зарубіжної) літератури «</w:t>
      </w:r>
      <w:proofErr w:type="spellStart"/>
      <w:r w:rsidRPr="00B94BE1">
        <w:rPr>
          <w:rFonts w:ascii="Cambria" w:hAnsi="Cambria"/>
          <w:sz w:val="28"/>
          <w:szCs w:val="28"/>
          <w:lang w:val="uk-UA"/>
        </w:rPr>
        <w:t>Sunflower</w:t>
      </w:r>
      <w:proofErr w:type="spellEnd"/>
      <w:r w:rsidRPr="00B94BE1">
        <w:rPr>
          <w:rFonts w:ascii="Cambria" w:hAnsi="Cambria"/>
          <w:sz w:val="28"/>
          <w:szCs w:val="28"/>
          <w:lang w:val="uk-UA"/>
        </w:rPr>
        <w:t xml:space="preserve">» </w:t>
      </w:r>
      <w:hyperlink r:id="rId11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http://gra-sunflower.com.ua/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Міжнародний конкурс з інформатики та комп’ютерного мислення «Бобер» </w:t>
      </w:r>
      <w:hyperlink r:id="rId12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http://bober.net.ua/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Всеукраїнська українознавча гра «Соняшник» </w:t>
      </w:r>
      <w:hyperlink r:id="rId13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http://gra-sonyashnyk.com.ua/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Всеукраїнський учнівський фізичний конкурс «Левеня» </w:t>
      </w:r>
      <w:hyperlink r:id="rId14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http://levenia.com.ua/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Всеукраїнський конкурс юних істориків «Лелека» </w:t>
      </w:r>
      <w:hyperlink r:id="rId15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http://osvitniy-prostir.com.ua/</w:t>
        </w:r>
      </w:hyperlink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Всеукраїнський </w:t>
      </w:r>
      <w:r w:rsidRPr="00B94BE1">
        <w:rPr>
          <w:rFonts w:ascii="Cambria" w:hAnsi="Cambria" w:cs="Arial"/>
          <w:color w:val="000000"/>
          <w:sz w:val="28"/>
          <w:szCs w:val="28"/>
          <w:shd w:val="clear" w:color="auto" w:fill="FFFFFF"/>
          <w:lang w:val="uk-UA"/>
        </w:rPr>
        <w:t xml:space="preserve">учнівський конкурс юних суспільствознавців «Кришталева сова» </w:t>
      </w:r>
      <w:hyperlink r:id="rId16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http://www.gromadosvita.info/index.php/competitions</w:t>
        </w:r>
      </w:hyperlink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B94BE1">
        <w:rPr>
          <w:rFonts w:ascii="Cambria" w:hAnsi="Cambria"/>
          <w:sz w:val="28"/>
          <w:szCs w:val="28"/>
          <w:lang w:val="uk-UA"/>
        </w:rPr>
        <w:t xml:space="preserve">Український біологічний сайт </w:t>
      </w:r>
      <w:hyperlink r:id="rId17" w:history="1">
        <w:r w:rsidRPr="00B94BE1">
          <w:rPr>
            <w:rStyle w:val="a4"/>
            <w:rFonts w:ascii="Cambria" w:hAnsi="Cambria"/>
            <w:sz w:val="28"/>
            <w:szCs w:val="28"/>
            <w:lang w:val="uk-UA"/>
          </w:rPr>
          <w:t>http://biology.org.ua/</w:t>
        </w:r>
      </w:hyperlink>
      <w:r w:rsidRPr="00B94BE1">
        <w:rPr>
          <w:rFonts w:ascii="Cambria" w:hAnsi="Cambria"/>
          <w:sz w:val="28"/>
          <w:szCs w:val="28"/>
          <w:lang w:val="uk-UA"/>
        </w:rPr>
        <w:t xml:space="preserve"> </w:t>
      </w: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</w:p>
    <w:p w:rsidR="00B94BE1" w:rsidRPr="00B94BE1" w:rsidRDefault="00B94BE1" w:rsidP="00B94BE1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  <w:lang w:val="uk-UA"/>
        </w:rPr>
      </w:pPr>
    </w:p>
    <w:sectPr w:rsidR="00B94BE1" w:rsidRPr="00B94BE1" w:rsidSect="006B6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19"/>
    <w:multiLevelType w:val="hybridMultilevel"/>
    <w:tmpl w:val="D6785E30"/>
    <w:lvl w:ilvl="0" w:tplc="6186E092">
      <w:start w:val="1"/>
      <w:numFmt w:val="bullet"/>
      <w:lvlText w:val=""/>
      <w:lvlJc w:val="left"/>
      <w:pPr>
        <w:tabs>
          <w:tab w:val="num" w:pos="1146"/>
        </w:tabs>
        <w:ind w:left="12" w:firstLine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0F916ECA"/>
    <w:multiLevelType w:val="multilevel"/>
    <w:tmpl w:val="12A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466E"/>
    <w:multiLevelType w:val="multilevel"/>
    <w:tmpl w:val="5B5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30CA2"/>
    <w:multiLevelType w:val="hybridMultilevel"/>
    <w:tmpl w:val="5FE41048"/>
    <w:lvl w:ilvl="0" w:tplc="535AF3BE">
      <w:numFmt w:val="bullet"/>
      <w:lvlText w:val="–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0F4A0C"/>
    <w:multiLevelType w:val="multilevel"/>
    <w:tmpl w:val="F3F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04581"/>
    <w:multiLevelType w:val="hybridMultilevel"/>
    <w:tmpl w:val="29AC39F4"/>
    <w:lvl w:ilvl="0" w:tplc="0C324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E52EE3"/>
    <w:multiLevelType w:val="hybridMultilevel"/>
    <w:tmpl w:val="50BCD1B8"/>
    <w:lvl w:ilvl="0" w:tplc="A65A667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1"/>
    <w:rsid w:val="00153A79"/>
    <w:rsid w:val="005E183E"/>
    <w:rsid w:val="006B6D64"/>
    <w:rsid w:val="00701480"/>
    <w:rsid w:val="007157A6"/>
    <w:rsid w:val="007C1B25"/>
    <w:rsid w:val="00860203"/>
    <w:rsid w:val="00896693"/>
    <w:rsid w:val="008E60DC"/>
    <w:rsid w:val="00B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E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B6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B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E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B6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B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sike.net.ua/" TargetMode="External"/><Relationship Id="rId13" Type="http://schemas.openxmlformats.org/officeDocument/2006/relationships/hyperlink" Target="http://gra-sonyashnyk.com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ippo.edu.ua/index.php/46-uncategorised/668-konkursi-olimpiadi" TargetMode="External"/><Relationship Id="rId12" Type="http://schemas.openxmlformats.org/officeDocument/2006/relationships/hyperlink" Target="http://bober.net.ua/" TargetMode="External"/><Relationship Id="rId17" Type="http://schemas.openxmlformats.org/officeDocument/2006/relationships/hyperlink" Target="http://biology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madosvita.info/index.php/competi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zo.gov.ua/dokumenti" TargetMode="External"/><Relationship Id="rId11" Type="http://schemas.openxmlformats.org/officeDocument/2006/relationships/hyperlink" Target="http://gra-sunflowe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niy-prostir.com.ua/" TargetMode="External"/><Relationship Id="rId10" Type="http://schemas.openxmlformats.org/officeDocument/2006/relationships/hyperlink" Target="http://helianthus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ngaroo.com.ua/" TargetMode="External"/><Relationship Id="rId14" Type="http://schemas.openxmlformats.org/officeDocument/2006/relationships/hyperlink" Target="http://leveni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4</cp:revision>
  <dcterms:created xsi:type="dcterms:W3CDTF">2019-04-26T09:25:00Z</dcterms:created>
  <dcterms:modified xsi:type="dcterms:W3CDTF">2019-05-20T05:53:00Z</dcterms:modified>
</cp:coreProperties>
</file>