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88" w:rsidRDefault="007F4588" w:rsidP="007F4588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ЕТОДИЧНІ РЕКОМЕНДАЦІЇ ЩОДО</w:t>
      </w:r>
    </w:p>
    <w:p w:rsidR="007F4588" w:rsidRDefault="007F4588" w:rsidP="007F4588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ВИКЛАДАННЯ НАВЧАЛЬНОГО ПРЕДМЕТУ ЕКОНОМІКИ</w:t>
      </w:r>
    </w:p>
    <w:p w:rsidR="007F4588" w:rsidRPr="00671E92" w:rsidRDefault="007F4588" w:rsidP="007F4588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2021-2022 НАВЧАЛЬНОМУ РОЦІ</w:t>
      </w:r>
    </w:p>
    <w:p w:rsidR="007F4588" w:rsidRPr="00AE6500" w:rsidRDefault="007F4588" w:rsidP="007F4588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сучасному етапі розвитку України, переходу її до демократично-правової держави, ринкової економіки, наближення до світових тенденцій економічного й суспільного розвитку, економічна освіта набуває особливо важливого значення.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сучасного етапу економічного розвитку країни вкрай необхідні ініціативні, економічно підготовлені, налаштовані на творчий пошук фахівці.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Концепції Нової української школи зазначено, що ефективність освіти пов</w:t>
      </w:r>
      <w:r w:rsidRPr="00251D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язується з реалізацією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підходу через формування ключових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освітньому процесі ключова компетентність «ініціативність і підприємливість» у курсах економічного спрямування формується шляхом поєднання теоретичного навчального матеріалу з його практичним застосуванням та реальними умовами господарювання в Україні, уміння генерувати нові ідеї й ініціативи, запроваджувати їх у життя з метою підвищення як власного соціального статусу та добробуту, так і розвитку суспільства і держави.</w:t>
      </w:r>
    </w:p>
    <w:p w:rsidR="007F4588" w:rsidRDefault="007F4588" w:rsidP="007F4588">
      <w:pPr>
        <w:spacing w:after="0" w:line="20" w:lineRule="atLeast"/>
        <w:ind w:firstLine="601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2021-2022 навчальному році шкільна економічна освіта представлена двома компонентами. Перший – це формування в учнів системних економічних знань та умінь, що забезпечується вивченням економіки на профільному рівні. 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Учні 10-11 класів продовжать вивчення економіки на профільному рівні (105 годин, 3 годин на тиждень) за навчальною програмою, що затверджена наказом Міністерства освіти і науки України від 23.10.2017 № 1407</w:t>
      </w:r>
      <w:bookmarkStart w:id="0" w:name="_Hlk7973563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надання грифу МОН навчальним програмам для учнів 10-11 класів закладів загальної середньої освіти» </w:t>
      </w:r>
      <w:bookmarkStart w:id="1" w:name="_Hlk79735669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https://numl.org/.107961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bookmarkEnd w:id="1"/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змістовою тематикою в 10 класі учням пропонується виконання 5, а в </w:t>
      </w:r>
      <w:r w:rsidR="005D58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 класі – 8 практичних робіт. Обов’язковими для оцінювання є дві практичні роботи за семестр</w:t>
      </w:r>
      <w:r>
        <w:rPr>
          <w:lang w:val="uk-UA"/>
        </w:rPr>
        <w:t>(</w:t>
      </w:r>
      <w:hyperlink r:id="rId6" w:history="1">
        <w:r w:rsidRPr="00EC6E30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https://numl.org/.968471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 визначення відповідності результатів навчальної діяльності школярів вимогам державного стандарту та навчальної програми обов’язковим є тематичне оцінювання, при здійсненні якого перевіряється ступінь засвоєння учнями матеріалу з теми або кількох тем з виставленням оцінок у класний журнал. Порівняно з традиційною системою оцінювання знань, оцінка навчальних досягнень повинна бути більш змістовною, диференційованою та об’єктивною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/.808961" </w:instrText>
      </w:r>
      <w:r w:rsidR="00B8512F">
        <w:fldChar w:fldCharType="separate"/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https://numl.org/.808961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Другий компонент економічної освіти – це формування компетентності підприємливості та фінансової грамотності. Цей напрямок представлено курсами за вибором, що можуть вивчатись у закладі загальної середньої освіти за наявності належних умов у старшій школі (наказ Міністерства освіти і науки України від 28.11.2019 № 1493 «Про внесення змін до типової освітньої програми закладів загальної середньої освіти ІІІ ступеня»)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/.498961" </w:instrText>
      </w:r>
      <w:r w:rsidR="00B8512F">
        <w:fldChar w:fldCharType="separate"/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https://numl.org/.498961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а також у початковій та базовій школі. 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Перший і другий компоненти економічної освіти підтримуються спеціальними курсами, перелік яких подано на офіційному сайті </w:t>
      </w:r>
      <w:r w:rsidR="005D58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ДНУ «Інститут модернізації змісту освіти»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/.908961" </w:instrText>
      </w:r>
      <w:r w:rsidR="00B8512F">
        <w:fldChar w:fldCharType="separate"/>
      </w:r>
      <w:r w:rsidRPr="00EC6E30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https://numl.org/.908961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2021-2022 навчальному році учні 10 класу вивчатимуть економічні питання за інтегрованою навчальною програмою «Громадянська освіта» </w:t>
      </w:r>
      <w:r w:rsidR="005D58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(Розділ 6. Взаємодія громадян і держави в досягненні суспільного добробуту), що затверджена наказом Міністерства освіти і науки України від 23.10.2017 </w:t>
      </w:r>
      <w:r w:rsidR="005D58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1407 ««Про надання грифу МОН навчальним програмам для учнів 10-11 класів закладів загальної середньої освіти». Зазначена навчальна програма розміщена на офіційному веб-сайті Міністерства освіти і науки України (</w:t>
      </w:r>
      <w:hyperlink r:id="rId7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https://numl.org/.107961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Фінансова грамотність.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2021-2022 навчальному році фінансова грамотність, як курс за вибором, за наявності належних умов у закладі загальної середньої освіти (наказ Міністерства освіти і науки України від 28.11.2019 № 1493 «Про внесення змін до типової освітньої програми закладів загальної середньої освіти ІІІ ступеня»)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/.498961" </w:instrText>
      </w:r>
      <w:r w:rsidR="00B8512F">
        <w:fldChar w:fldCharType="separate"/>
      </w:r>
      <w:r w:rsidRPr="00AB747D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https://numl.org/.498961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вивчатиметься в 10, 11 класах за оновленою та відкоригованою навчальною програмою «Фінансова грамотність. Фінанси. Що? Чому? Як?» (35 год., 1 година на тиждень)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(105 год., 3 година на тиждень) для 10 (11) класів закладів загальної середньої освіти (за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Смовженко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Т.С.)</w:t>
      </w:r>
      <w:r w:rsidR="00F74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також за підручником «Фінансова грамотність. Фінанси. Що? Чому? Як?» для 10 (11) класів закладів загальної середньої освіти (за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Смовженко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Т.С.).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Навчально-методичне забезпечення курсу (програма, підручник, робочий зошит) розміщено на сайті Мініст</w:t>
      </w:r>
      <w:r w:rsidR="00F74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ерства освіти і науки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8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https://numl.org/.698961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 5-9 класів мають можливість вивчати фінансову грамотність, як варіативний курс, за програмами: «Родинні фінанси» для 5 класу; «Фінансово-грамотний споживач» для 6 класу; «Фінансова культура»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7 класу; «Прикладні фінанси» для 8 класу; «Економіка &amp; фінанси»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9 класу закладів загальної середньої освіти (авт. Довгань А.І.,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Часнікова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О.В., та інші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Смовженко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Т.С.), що розміщено на офіційному сайті </w:t>
      </w:r>
      <w:r w:rsidR="005D581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ДНУ «Інститут модернізації змісту освіти»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/.798961" </w:instrText>
      </w:r>
      <w:r w:rsidR="00B8512F">
        <w:fldChar w:fldCharType="separate"/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https://numl.org/.798961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Навчально-методичний комплект для учнів 5-9 класів містить: навчальну програму, навчальний посібник для учня, навчально-методичний посібник для вчителя, робочий зошит для учня. Матеріали розміщено на офіційному сайті ДНУ «Інститут модернізації змісту освіти» (</w:t>
      </w:r>
      <w:hyperlink r:id="rId9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https://numl.org/.898961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Також інформуємо, що на цьому ж сайті в розділі «Електронна бібліотека», крім електронних версій підручників з економіки (</w:t>
      </w:r>
      <w:r w:rsidR="00B8512F">
        <w:fldChar w:fldCharType="begin"/>
      </w:r>
      <w:r w:rsidR="00B8512F" w:rsidRPr="00B8512F">
        <w:rPr>
          <w:lang w:val="uk-UA"/>
        </w:rPr>
        <w:instrText xml:space="preserve"> </w:instrText>
      </w:r>
      <w:r w:rsidR="00B8512F">
        <w:instrText>HYPERLINK</w:instrText>
      </w:r>
      <w:r w:rsidR="00B8512F" w:rsidRPr="00B8512F">
        <w:rPr>
          <w:lang w:val="uk-UA"/>
        </w:rPr>
        <w:instrText xml:space="preserve"> "</w:instrText>
      </w:r>
      <w:r w:rsidR="00B8512F">
        <w:instrText>https</w:instrText>
      </w:r>
      <w:r w:rsidR="00B8512F" w:rsidRPr="00B8512F">
        <w:rPr>
          <w:lang w:val="uk-UA"/>
        </w:rPr>
        <w:instrText>://</w:instrText>
      </w:r>
      <w:r w:rsidR="00B8512F">
        <w:instrText>numl</w:instrText>
      </w:r>
      <w:r w:rsidR="00B8512F" w:rsidRPr="00B8512F">
        <w:rPr>
          <w:lang w:val="uk-UA"/>
        </w:rPr>
        <w:instrText>.</w:instrText>
      </w:r>
      <w:r w:rsidR="00B8512F">
        <w:instrText>org</w:instrText>
      </w:r>
      <w:r w:rsidR="00B8512F" w:rsidRPr="00B8512F">
        <w:rPr>
          <w:lang w:val="uk-UA"/>
        </w:rPr>
        <w:instrText xml:space="preserve">/.868471" </w:instrText>
      </w:r>
      <w:r w:rsidR="00B8512F">
        <w:fldChar w:fldCharType="separate"/>
      </w:r>
      <w:r w:rsidRPr="00EC6E30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https://numl.org/.868471</w:t>
      </w:r>
      <w:r w:rsidR="00B8512F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розміщено науково-популярне видання серії «Шкільна бібліотека» посібник «Основи споживчих знань. Споживча етика» для 5-6 класів закладів загальної середньої освіти (авт.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Овчарук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Пужайчереда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Л.М. (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https://numl.org/.009961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F4588" w:rsidRPr="00F743AB" w:rsidRDefault="007F4588" w:rsidP="00F743AB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умовах карантину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45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організації освітньо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процесу</w:t>
      </w:r>
      <w:r w:rsidR="00F7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рекомендуємо використовувати</w:t>
      </w:r>
      <w:r w:rsidR="00F7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45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дистанційного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змішаного </w:t>
      </w:r>
      <w:r w:rsidRPr="0045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7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цього</w:t>
      </w:r>
      <w:r w:rsidR="00F74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рекомендуємо ознайомитися з матеріалами, що розміщено на платформі Всеукраїнської школи онлайн (</w:t>
      </w:r>
      <w:hyperlink r:id="rId11" w:history="1">
        <w:r w:rsidRPr="00CE78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https://numl.org/.369961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F4588" w:rsidRPr="00862FD5" w:rsidRDefault="007F4588" w:rsidP="007F4588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F743AB"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скористатися методичними матеріалами, що розміщено на сайті комунального закладу «</w:t>
      </w:r>
      <w:r w:rsidRPr="00862FD5">
        <w:rPr>
          <w:rFonts w:ascii="Times New Roman" w:hAnsi="Times New Roman" w:cs="Times New Roman"/>
          <w:sz w:val="28"/>
          <w:szCs w:val="28"/>
          <w:lang w:val="uk-UA"/>
        </w:rPr>
        <w:t>Сумський обласний інститут піс</w:t>
      </w:r>
      <w:r>
        <w:rPr>
          <w:rFonts w:ascii="Times New Roman" w:hAnsi="Times New Roman" w:cs="Times New Roman"/>
          <w:sz w:val="28"/>
          <w:szCs w:val="28"/>
          <w:lang w:val="uk-UA"/>
        </w:rPr>
        <w:t>лядипломної педагогічної освіти», зокрема такими:</w:t>
      </w:r>
    </w:p>
    <w:p w:rsidR="007F4588" w:rsidRPr="00CC6398" w:rsidRDefault="007F4588" w:rsidP="007F4588">
      <w:pPr>
        <w:pStyle w:val="a4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CC6398">
        <w:rPr>
          <w:szCs w:val="28"/>
        </w:rPr>
        <w:t>Дистанційний формат взаємодії суб’єктів освітньої діяльності (методичні рекомендації)</w:t>
      </w:r>
      <w:r w:rsidR="00F743AB">
        <w:rPr>
          <w:szCs w:val="28"/>
        </w:rPr>
        <w:t xml:space="preserve"> </w:t>
      </w:r>
      <w:r w:rsidRPr="00CC6398">
        <w:rPr>
          <w:szCs w:val="28"/>
        </w:rPr>
        <w:t>(</w:t>
      </w:r>
      <w:hyperlink r:id="rId12" w:history="1">
        <w:r w:rsidRPr="00CC6398">
          <w:rPr>
            <w:rStyle w:val="a3"/>
            <w:szCs w:val="28"/>
          </w:rPr>
          <w:t>https://numl.org/.218961</w:t>
        </w:r>
      </w:hyperlink>
      <w:r w:rsidRPr="00CC6398">
        <w:rPr>
          <w:szCs w:val="28"/>
        </w:rPr>
        <w:t>).</w:t>
      </w:r>
    </w:p>
    <w:p w:rsidR="007F4588" w:rsidRDefault="007F4588" w:rsidP="007F4588">
      <w:pPr>
        <w:pStyle w:val="a4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CC6398">
        <w:rPr>
          <w:szCs w:val="28"/>
        </w:rPr>
        <w:t>Організація та проведення дистанційних уроків з географії та економіки (</w:t>
      </w:r>
      <w:hyperlink r:id="rId13" w:history="1">
        <w:r w:rsidRPr="00CC6398">
          <w:rPr>
            <w:rStyle w:val="a3"/>
            <w:szCs w:val="28"/>
          </w:rPr>
          <w:t>https://numl.org/.208961</w:t>
        </w:r>
      </w:hyperlink>
      <w:r w:rsidRPr="00CC6398">
        <w:rPr>
          <w:szCs w:val="28"/>
        </w:rPr>
        <w:t>).</w:t>
      </w:r>
    </w:p>
    <w:p w:rsidR="007F4588" w:rsidRDefault="007F4588" w:rsidP="007F4588">
      <w:pPr>
        <w:pStyle w:val="a4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Формування економічної компетентності особистості (</w:t>
      </w:r>
      <w:hyperlink r:id="rId14" w:history="1">
        <w:r w:rsidRPr="00A002E4">
          <w:rPr>
            <w:rStyle w:val="a3"/>
            <w:szCs w:val="28"/>
          </w:rPr>
          <w:t>https://numl.org/.429471</w:t>
        </w:r>
      </w:hyperlink>
      <w:r>
        <w:rPr>
          <w:szCs w:val="28"/>
        </w:rPr>
        <w:t>).</w:t>
      </w: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" w:name="_GoBack"/>
      <w:bookmarkEnd w:id="2"/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Default="007F4588" w:rsidP="007F4588">
      <w:pPr>
        <w:spacing w:after="0" w:line="20" w:lineRule="atLeast"/>
        <w:ind w:firstLine="6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F4588" w:rsidRPr="00251D0E" w:rsidRDefault="007F4588" w:rsidP="007F4588">
      <w:pPr>
        <w:rPr>
          <w:lang w:val="uk-UA"/>
        </w:rPr>
      </w:pPr>
    </w:p>
    <w:p w:rsidR="0025563A" w:rsidRPr="007F4588" w:rsidRDefault="0025563A">
      <w:pPr>
        <w:rPr>
          <w:lang w:val="uk-UA"/>
        </w:rPr>
      </w:pPr>
    </w:p>
    <w:sectPr w:rsidR="0025563A" w:rsidRPr="007F4588" w:rsidSect="005D58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493"/>
    <w:multiLevelType w:val="hybridMultilevel"/>
    <w:tmpl w:val="DF9CEFC8"/>
    <w:lvl w:ilvl="0" w:tplc="C5481486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588"/>
    <w:rsid w:val="0025563A"/>
    <w:rsid w:val="005D5819"/>
    <w:rsid w:val="007F4588"/>
    <w:rsid w:val="00B8512F"/>
    <w:rsid w:val="00F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3C78-64AB-4838-B2F5-690EB19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698961" TargetMode="External"/><Relationship Id="rId13" Type="http://schemas.openxmlformats.org/officeDocument/2006/relationships/hyperlink" Target="https://numl.org/.208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ml.org/.107961" TargetMode="External"/><Relationship Id="rId12" Type="http://schemas.openxmlformats.org/officeDocument/2006/relationships/hyperlink" Target="https://numl.org/.2189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uml.org/.968471" TargetMode="External"/><Relationship Id="rId11" Type="http://schemas.openxmlformats.org/officeDocument/2006/relationships/hyperlink" Target="https://numl.org/.369961" TargetMode="External"/><Relationship Id="rId5" Type="http://schemas.openxmlformats.org/officeDocument/2006/relationships/hyperlink" Target="https://numl.org/.1079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uml.org/.009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ml.org/.898961" TargetMode="External"/><Relationship Id="rId14" Type="http://schemas.openxmlformats.org/officeDocument/2006/relationships/hyperlink" Target="https://numl.org/.429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2021-08-16T07:46:00Z</dcterms:created>
  <dcterms:modified xsi:type="dcterms:W3CDTF">2021-09-29T10:54:00Z</dcterms:modified>
</cp:coreProperties>
</file>